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E7" w:rsidRDefault="00F42F00" w:rsidP="008A59E7">
      <w:pPr>
        <w:spacing w:after="0" w:line="240" w:lineRule="auto"/>
        <w:jc w:val="center"/>
        <w:rPr>
          <w:rFonts w:ascii="Times New Roman" w:hAnsi="Times New Roman" w:cs="Times New Roman"/>
          <w:b/>
          <w:sz w:val="28"/>
          <w:szCs w:val="28"/>
          <w:lang w:val="vi-VN"/>
        </w:rPr>
      </w:pPr>
      <w:r w:rsidRPr="005D7613">
        <w:rPr>
          <w:rFonts w:ascii="Times New Roman" w:hAnsi="Times New Roman" w:cs="Times New Roman"/>
          <w:b/>
          <w:sz w:val="28"/>
          <w:szCs w:val="28"/>
          <w:lang w:val="vi-VN"/>
        </w:rPr>
        <w:t>Phụ lục</w:t>
      </w:r>
    </w:p>
    <w:p w:rsidR="00F42F00" w:rsidRPr="005D7613" w:rsidRDefault="00F42F00" w:rsidP="008A59E7">
      <w:pPr>
        <w:spacing w:after="0" w:line="240" w:lineRule="auto"/>
        <w:jc w:val="center"/>
        <w:rPr>
          <w:rFonts w:ascii="Times New Roman" w:hAnsi="Times New Roman" w:cs="Times New Roman"/>
          <w:b/>
          <w:sz w:val="28"/>
          <w:szCs w:val="28"/>
          <w:lang w:val="vi-VN"/>
        </w:rPr>
      </w:pPr>
      <w:r w:rsidRPr="005D7613">
        <w:rPr>
          <w:rFonts w:ascii="Times New Roman" w:hAnsi="Times New Roman" w:cs="Times New Roman"/>
          <w:b/>
          <w:sz w:val="28"/>
          <w:szCs w:val="28"/>
          <w:lang w:val="vi-VN"/>
        </w:rPr>
        <w:t>KẾ HOẠCH LỰA CHỌN NHÀ THẦU</w:t>
      </w:r>
    </w:p>
    <w:p w:rsidR="001F2B3D" w:rsidRPr="001F2B3D" w:rsidRDefault="001F2B3D" w:rsidP="008A59E7">
      <w:pPr>
        <w:spacing w:after="0" w:line="240" w:lineRule="auto"/>
        <w:jc w:val="center"/>
        <w:rPr>
          <w:rFonts w:ascii="Times New Roman" w:hAnsi="Times New Roman" w:cs="Times New Roman"/>
          <w:b/>
          <w:bCs/>
          <w:sz w:val="28"/>
          <w:szCs w:val="28"/>
          <w:lang w:val="vi-VN"/>
        </w:rPr>
      </w:pPr>
      <w:r w:rsidRPr="001F2B3D">
        <w:rPr>
          <w:rFonts w:ascii="Times New Roman" w:hAnsi="Times New Roman" w:cs="Times New Roman"/>
          <w:b/>
          <w:sz w:val="28"/>
          <w:szCs w:val="28"/>
          <w:lang w:val="vi-VN"/>
        </w:rPr>
        <w:t>Dự toán mua sắ</w:t>
      </w:r>
      <w:r>
        <w:rPr>
          <w:rFonts w:ascii="Times New Roman" w:hAnsi="Times New Roman" w:cs="Times New Roman"/>
          <w:b/>
          <w:sz w:val="28"/>
          <w:szCs w:val="28"/>
          <w:lang w:val="vi-VN"/>
        </w:rPr>
        <w:t>m</w:t>
      </w:r>
      <w:r w:rsidRPr="001F2B3D">
        <w:rPr>
          <w:rFonts w:ascii="Times New Roman" w:hAnsi="Times New Roman"/>
          <w:b/>
          <w:sz w:val="28"/>
          <w:szCs w:val="28"/>
          <w:lang w:val="vi-VN"/>
        </w:rPr>
        <w:t xml:space="preserve">tư vấn, thẩm định </w:t>
      </w:r>
      <w:r w:rsidRPr="001F2B3D">
        <w:rPr>
          <w:rFonts w:ascii="Times New Roman" w:hAnsi="Times New Roman" w:cs="Times New Roman"/>
          <w:b/>
          <w:bCs/>
          <w:sz w:val="28"/>
          <w:szCs w:val="28"/>
          <w:lang w:val="vi-VN"/>
        </w:rPr>
        <w:t>giá trị còn lại của tài sản trên đất và xác định giá đất cụ thể làm cơ sở xác định giá khởi điểm đấu giá quyền sử dụng 11.948,7m</w:t>
      </w:r>
      <w:r w:rsidRPr="001F2B3D">
        <w:rPr>
          <w:rFonts w:ascii="Times New Roman" w:hAnsi="Times New Roman" w:cs="Times New Roman"/>
          <w:b/>
          <w:bCs/>
          <w:sz w:val="28"/>
          <w:szCs w:val="28"/>
          <w:vertAlign w:val="superscript"/>
          <w:lang w:val="vi-VN"/>
        </w:rPr>
        <w:t>2</w:t>
      </w:r>
      <w:r w:rsidRPr="001F2B3D">
        <w:rPr>
          <w:rFonts w:ascii="Times New Roman" w:hAnsi="Times New Roman" w:cs="Times New Roman"/>
          <w:b/>
          <w:bCs/>
          <w:sz w:val="28"/>
          <w:szCs w:val="28"/>
          <w:lang w:val="vi-VN"/>
        </w:rPr>
        <w:t xml:space="preserve"> đất tại Phường 1, thành phố Tây Ninh, tỉnh Tây Ninh</w:t>
      </w:r>
    </w:p>
    <w:p w:rsidR="005D7613" w:rsidRDefault="005D7613" w:rsidP="008A59E7">
      <w:pPr>
        <w:spacing w:after="0" w:line="240" w:lineRule="auto"/>
        <w:jc w:val="center"/>
        <w:rPr>
          <w:rFonts w:ascii="Times New Roman" w:hAnsi="Times New Roman" w:cs="Times New Roman"/>
          <w:i/>
          <w:sz w:val="28"/>
          <w:szCs w:val="28"/>
          <w:lang w:val="vi-VN"/>
        </w:rPr>
      </w:pPr>
      <w:r w:rsidRPr="005D7613">
        <w:rPr>
          <w:rFonts w:ascii="Times New Roman" w:hAnsi="Times New Roman" w:cs="Times New Roman"/>
          <w:i/>
          <w:sz w:val="28"/>
          <w:szCs w:val="28"/>
          <w:lang w:val="vi-VN"/>
        </w:rPr>
        <w:t>(Kèm theo Quyết định số</w:t>
      </w:r>
      <w:r w:rsidR="00B861F0">
        <w:rPr>
          <w:rFonts w:ascii="Times New Roman" w:hAnsi="Times New Roman" w:cs="Times New Roman"/>
          <w:i/>
          <w:sz w:val="28"/>
          <w:szCs w:val="28"/>
          <w:lang w:val="vi-VN"/>
        </w:rPr>
        <w:t xml:space="preserve"> 484</w:t>
      </w:r>
      <w:bookmarkStart w:id="0" w:name="_GoBack"/>
      <w:bookmarkEnd w:id="0"/>
      <w:r w:rsidR="00B861F0">
        <w:rPr>
          <w:rFonts w:ascii="Times New Roman" w:hAnsi="Times New Roman" w:cs="Times New Roman"/>
          <w:i/>
          <w:sz w:val="28"/>
          <w:szCs w:val="28"/>
          <w:lang w:val="vi-VN"/>
        </w:rPr>
        <w:t>/QĐ-TTPTQĐ ngày 04 tháng 11</w:t>
      </w:r>
      <w:r w:rsidRPr="005D7613">
        <w:rPr>
          <w:rFonts w:ascii="Times New Roman" w:hAnsi="Times New Roman" w:cs="Times New Roman"/>
          <w:i/>
          <w:sz w:val="28"/>
          <w:szCs w:val="28"/>
          <w:lang w:val="vi-VN"/>
        </w:rPr>
        <w:t xml:space="preserve"> năm 2024 </w:t>
      </w:r>
    </w:p>
    <w:p w:rsidR="008835F6" w:rsidRPr="005D7613" w:rsidRDefault="005D7613" w:rsidP="005D7613">
      <w:pPr>
        <w:spacing w:after="0" w:line="240" w:lineRule="auto"/>
        <w:jc w:val="center"/>
        <w:rPr>
          <w:rFonts w:ascii="Times New Roman" w:hAnsi="Times New Roman" w:cs="Times New Roman"/>
          <w:i/>
          <w:sz w:val="28"/>
          <w:szCs w:val="28"/>
          <w:lang w:val="vi-VN"/>
        </w:rPr>
      </w:pPr>
      <w:r w:rsidRPr="005D7613">
        <w:rPr>
          <w:rFonts w:ascii="Times New Roman" w:hAnsi="Times New Roman" w:cs="Times New Roman"/>
          <w:i/>
          <w:sz w:val="28"/>
          <w:szCs w:val="28"/>
          <w:lang w:val="vi-VN"/>
        </w:rPr>
        <w:t>của Trung tâm Phát triển quỹ đất)</w:t>
      </w:r>
    </w:p>
    <w:tbl>
      <w:tblPr>
        <w:tblStyle w:val="TableGrid"/>
        <w:tblW w:w="14035" w:type="dxa"/>
        <w:jc w:val="center"/>
        <w:tblLook w:val="04A0"/>
      </w:tblPr>
      <w:tblGrid>
        <w:gridCol w:w="534"/>
        <w:gridCol w:w="852"/>
        <w:gridCol w:w="1483"/>
        <w:gridCol w:w="1414"/>
        <w:gridCol w:w="1407"/>
        <w:gridCol w:w="953"/>
        <w:gridCol w:w="780"/>
        <w:gridCol w:w="1095"/>
        <w:gridCol w:w="939"/>
        <w:gridCol w:w="939"/>
        <w:gridCol w:w="766"/>
        <w:gridCol w:w="751"/>
        <w:gridCol w:w="997"/>
        <w:gridCol w:w="1125"/>
      </w:tblGrid>
      <w:tr w:rsidR="008A59E7" w:rsidRPr="00BD722A" w:rsidTr="008A59E7">
        <w:trPr>
          <w:jc w:val="center"/>
        </w:trPr>
        <w:tc>
          <w:tcPr>
            <w:tcW w:w="534"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Stt</w:t>
            </w:r>
          </w:p>
        </w:tc>
        <w:tc>
          <w:tcPr>
            <w:tcW w:w="852"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Tên chủ đầu tư</w:t>
            </w:r>
          </w:p>
        </w:tc>
        <w:tc>
          <w:tcPr>
            <w:tcW w:w="2897" w:type="dxa"/>
            <w:gridSpan w:val="2"/>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Tên gói thầu</w:t>
            </w:r>
          </w:p>
        </w:tc>
        <w:tc>
          <w:tcPr>
            <w:tcW w:w="1407"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Giá gói thầu</w:t>
            </w:r>
          </w:p>
        </w:tc>
        <w:tc>
          <w:tcPr>
            <w:tcW w:w="953"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Nguồn vốn</w:t>
            </w:r>
          </w:p>
        </w:tc>
        <w:tc>
          <w:tcPr>
            <w:tcW w:w="780"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Hình thức lựa chọn nhà thầu</w:t>
            </w:r>
          </w:p>
        </w:tc>
        <w:tc>
          <w:tcPr>
            <w:tcW w:w="1095"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Phương thức lựa chọn nhà thầu</w:t>
            </w:r>
          </w:p>
        </w:tc>
        <w:tc>
          <w:tcPr>
            <w:tcW w:w="939"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Thời gian tổ chức lựa chọn nhà thầu</w:t>
            </w:r>
          </w:p>
        </w:tc>
        <w:tc>
          <w:tcPr>
            <w:tcW w:w="939"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Thời gian bắt đầu tổ chức lựa chọn nhà thầu</w:t>
            </w:r>
          </w:p>
        </w:tc>
        <w:tc>
          <w:tcPr>
            <w:tcW w:w="766"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Loại hợp đồng</w:t>
            </w:r>
          </w:p>
        </w:tc>
        <w:tc>
          <w:tcPr>
            <w:tcW w:w="751"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Thời gian thực hiện gói thầu</w:t>
            </w:r>
          </w:p>
        </w:tc>
        <w:tc>
          <w:tcPr>
            <w:tcW w:w="997"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Tùy chọn mua thêm</w:t>
            </w:r>
          </w:p>
        </w:tc>
        <w:tc>
          <w:tcPr>
            <w:tcW w:w="1125" w:type="dxa"/>
            <w:vMerge w:val="restart"/>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Giám sát hoạt động đấu thầu</w:t>
            </w:r>
          </w:p>
        </w:tc>
      </w:tr>
      <w:tr w:rsidR="008A59E7" w:rsidRPr="00BD722A" w:rsidTr="008A59E7">
        <w:trPr>
          <w:jc w:val="center"/>
        </w:trPr>
        <w:tc>
          <w:tcPr>
            <w:tcW w:w="534"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852"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1483" w:type="dxa"/>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Tên gói thầu</w:t>
            </w:r>
          </w:p>
        </w:tc>
        <w:tc>
          <w:tcPr>
            <w:tcW w:w="1414" w:type="dxa"/>
            <w:vAlign w:val="center"/>
          </w:tcPr>
          <w:p w:rsidR="009837FC" w:rsidRPr="00B548F9" w:rsidRDefault="009837FC" w:rsidP="00855E6C">
            <w:pPr>
              <w:jc w:val="center"/>
              <w:rPr>
                <w:rFonts w:ascii="Times New Roman" w:hAnsi="Times New Roman" w:cs="Times New Roman"/>
                <w:b/>
                <w:sz w:val="26"/>
                <w:szCs w:val="26"/>
                <w:lang w:val="vi-VN"/>
              </w:rPr>
            </w:pPr>
            <w:r w:rsidRPr="00B548F9">
              <w:rPr>
                <w:rFonts w:ascii="Times New Roman" w:hAnsi="Times New Roman" w:cs="Times New Roman"/>
                <w:b/>
                <w:sz w:val="26"/>
                <w:szCs w:val="26"/>
                <w:lang w:val="vi-VN"/>
              </w:rPr>
              <w:t>Tóm tắt công việc chính của gói thầu</w:t>
            </w:r>
          </w:p>
        </w:tc>
        <w:tc>
          <w:tcPr>
            <w:tcW w:w="1407"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953"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780"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1095"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939"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939"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766"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751"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997" w:type="dxa"/>
            <w:vMerge/>
            <w:vAlign w:val="center"/>
          </w:tcPr>
          <w:p w:rsidR="009837FC" w:rsidRPr="009837FC" w:rsidRDefault="009837FC" w:rsidP="00855E6C">
            <w:pPr>
              <w:jc w:val="center"/>
              <w:rPr>
                <w:rFonts w:ascii="Times New Roman" w:hAnsi="Times New Roman" w:cs="Times New Roman"/>
                <w:sz w:val="26"/>
                <w:szCs w:val="26"/>
                <w:lang w:val="vi-VN"/>
              </w:rPr>
            </w:pPr>
          </w:p>
        </w:tc>
        <w:tc>
          <w:tcPr>
            <w:tcW w:w="1125" w:type="dxa"/>
            <w:vMerge/>
            <w:vAlign w:val="center"/>
          </w:tcPr>
          <w:p w:rsidR="009837FC" w:rsidRPr="009837FC" w:rsidRDefault="009837FC" w:rsidP="00855E6C">
            <w:pPr>
              <w:jc w:val="center"/>
              <w:rPr>
                <w:rFonts w:ascii="Times New Roman" w:hAnsi="Times New Roman" w:cs="Times New Roman"/>
                <w:sz w:val="26"/>
                <w:szCs w:val="26"/>
                <w:lang w:val="vi-VN"/>
              </w:rPr>
            </w:pPr>
          </w:p>
        </w:tc>
      </w:tr>
      <w:tr w:rsidR="008A59E7" w:rsidRPr="009837FC" w:rsidTr="008A59E7">
        <w:trPr>
          <w:jc w:val="center"/>
        </w:trPr>
        <w:tc>
          <w:tcPr>
            <w:tcW w:w="534" w:type="dxa"/>
            <w:vAlign w:val="center"/>
          </w:tcPr>
          <w:p w:rsidR="00855E6C" w:rsidRPr="009837FC"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52" w:type="dxa"/>
            <w:vAlign w:val="center"/>
          </w:tcPr>
          <w:p w:rsidR="00855E6C" w:rsidRPr="009837FC"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Trung tâm Phát triển quỹ đất</w:t>
            </w:r>
          </w:p>
        </w:tc>
        <w:tc>
          <w:tcPr>
            <w:tcW w:w="1483" w:type="dxa"/>
            <w:vAlign w:val="center"/>
          </w:tcPr>
          <w:p w:rsidR="00855E6C" w:rsidRPr="00B548F9"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Mua sắm dịch vụ, tư vấn, thẩm định giá trị còn lại của tài sản trên đất  và xác định giá đất cụ thể làm cơ sở xác định giá khởi điểm đấu giá quyền sử dụng 11.948,7m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đất tại phường 1, thành phố Tây Ninh, tỉnh Tây Ninh</w:t>
            </w:r>
          </w:p>
        </w:tc>
        <w:tc>
          <w:tcPr>
            <w:tcW w:w="1414" w:type="dxa"/>
            <w:vAlign w:val="center"/>
          </w:tcPr>
          <w:p w:rsidR="00855E6C" w:rsidRPr="009837FC"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Tư </w:t>
            </w:r>
            <w:r w:rsidR="008A59E7">
              <w:rPr>
                <w:rFonts w:ascii="Times New Roman" w:hAnsi="Times New Roman" w:cs="Times New Roman"/>
                <w:sz w:val="26"/>
                <w:szCs w:val="26"/>
                <w:lang w:val="vi-VN"/>
              </w:rPr>
              <w:t xml:space="preserve">vấn, </w:t>
            </w:r>
            <w:r>
              <w:rPr>
                <w:rFonts w:ascii="Times New Roman" w:hAnsi="Times New Roman" w:cs="Times New Roman"/>
                <w:sz w:val="26"/>
                <w:szCs w:val="26"/>
                <w:lang w:val="vi-VN"/>
              </w:rPr>
              <w:t>thẩm định giá trị còn lại của tài sản trên đất  và xác định giá đất cụ thể làm cơ sở xác định giá khởi điểm đấu giá quyền sử dụng 11.948,7m</w:t>
            </w:r>
            <w:r>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đất tại phường 1, thành phố Tây Ninh, tỉnh Tây Ninh</w:t>
            </w:r>
          </w:p>
        </w:tc>
        <w:tc>
          <w:tcPr>
            <w:tcW w:w="1407" w:type="dxa"/>
            <w:vAlign w:val="center"/>
          </w:tcPr>
          <w:p w:rsidR="00855E6C" w:rsidRDefault="008A59E7"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98</w:t>
            </w:r>
            <w:r w:rsidR="00855E6C">
              <w:rPr>
                <w:rFonts w:ascii="Times New Roman" w:hAnsi="Times New Roman" w:cs="Times New Roman"/>
                <w:sz w:val="26"/>
                <w:szCs w:val="26"/>
                <w:lang w:val="vi-VN"/>
              </w:rPr>
              <w:t>.</w:t>
            </w:r>
            <w:r>
              <w:rPr>
                <w:rFonts w:ascii="Times New Roman" w:hAnsi="Times New Roman" w:cs="Times New Roman"/>
                <w:sz w:val="26"/>
                <w:szCs w:val="26"/>
                <w:lang w:val="vi-VN"/>
              </w:rPr>
              <w:t>391</w:t>
            </w:r>
            <w:r w:rsidR="00855E6C">
              <w:rPr>
                <w:rFonts w:ascii="Times New Roman" w:hAnsi="Times New Roman" w:cs="Times New Roman"/>
                <w:sz w:val="26"/>
                <w:szCs w:val="26"/>
                <w:lang w:val="vi-VN"/>
              </w:rPr>
              <w:t>.000 đồng</w:t>
            </w:r>
          </w:p>
          <w:p w:rsidR="00855E6C" w:rsidRPr="009837FC" w:rsidRDefault="00855E6C" w:rsidP="00855E6C">
            <w:pPr>
              <w:jc w:val="center"/>
              <w:rPr>
                <w:rFonts w:ascii="Times New Roman" w:hAnsi="Times New Roman" w:cs="Times New Roman"/>
                <w:sz w:val="26"/>
                <w:szCs w:val="26"/>
                <w:lang w:val="vi-VN"/>
              </w:rPr>
            </w:pPr>
          </w:p>
        </w:tc>
        <w:tc>
          <w:tcPr>
            <w:tcW w:w="953" w:type="dxa"/>
            <w:vAlign w:val="center"/>
          </w:tcPr>
          <w:p w:rsidR="00855E6C" w:rsidRPr="009837FC" w:rsidRDefault="008A59E7" w:rsidP="00CF6E05">
            <w:pPr>
              <w:rPr>
                <w:rFonts w:ascii="Times New Roman" w:hAnsi="Times New Roman" w:cs="Times New Roman"/>
                <w:sz w:val="26"/>
                <w:szCs w:val="26"/>
                <w:lang w:val="vi-VN"/>
              </w:rPr>
            </w:pPr>
            <w:r>
              <w:rPr>
                <w:rFonts w:ascii="Times New Roman" w:hAnsi="Times New Roman" w:cs="Times New Roman"/>
                <w:sz w:val="26"/>
                <w:szCs w:val="26"/>
                <w:lang w:val="vi-VN"/>
              </w:rPr>
              <w:t>Nguồn kinh</w:t>
            </w:r>
            <w:r w:rsidR="00855E6C">
              <w:rPr>
                <w:rFonts w:ascii="Times New Roman" w:hAnsi="Times New Roman" w:cs="Times New Roman"/>
                <w:sz w:val="26"/>
                <w:szCs w:val="26"/>
                <w:lang w:val="vi-VN"/>
              </w:rPr>
              <w:t xml:space="preserve"> phí đấ</w:t>
            </w:r>
            <w:r w:rsidR="00C73275">
              <w:rPr>
                <w:rFonts w:ascii="Times New Roman" w:hAnsi="Times New Roman" w:cs="Times New Roman"/>
                <w:sz w:val="26"/>
                <w:szCs w:val="26"/>
                <w:lang w:val="vi-VN"/>
              </w:rPr>
              <w:t>u giá QSDĐ</w:t>
            </w:r>
            <w:r w:rsidR="00855E6C">
              <w:rPr>
                <w:rFonts w:ascii="Times New Roman" w:hAnsi="Times New Roman" w:cs="Times New Roman"/>
                <w:sz w:val="26"/>
                <w:szCs w:val="26"/>
                <w:lang w:val="vi-VN"/>
              </w:rPr>
              <w:t xml:space="preserve"> </w:t>
            </w:r>
            <w:r w:rsidR="00CF6E05">
              <w:rPr>
                <w:rFonts w:ascii="Times New Roman" w:hAnsi="Times New Roman" w:cs="Times New Roman"/>
                <w:sz w:val="26"/>
                <w:szCs w:val="26"/>
                <w:lang w:val="vi-VN"/>
              </w:rPr>
              <w:t>hàng năm</w:t>
            </w:r>
          </w:p>
        </w:tc>
        <w:tc>
          <w:tcPr>
            <w:tcW w:w="780" w:type="dxa"/>
            <w:vAlign w:val="center"/>
          </w:tcPr>
          <w:p w:rsidR="00855E6C" w:rsidRPr="009837FC" w:rsidRDefault="008A59E7"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Chỉ định thầu rút gọn</w:t>
            </w:r>
          </w:p>
        </w:tc>
        <w:tc>
          <w:tcPr>
            <w:tcW w:w="1095" w:type="dxa"/>
            <w:vAlign w:val="center"/>
          </w:tcPr>
          <w:p w:rsidR="00855E6C" w:rsidRPr="009837FC" w:rsidRDefault="00855E6C" w:rsidP="00855E6C">
            <w:pPr>
              <w:jc w:val="center"/>
              <w:rPr>
                <w:rFonts w:ascii="Times New Roman" w:hAnsi="Times New Roman" w:cs="Times New Roman"/>
                <w:sz w:val="26"/>
                <w:szCs w:val="26"/>
                <w:lang w:val="vi-VN"/>
              </w:rPr>
            </w:pPr>
          </w:p>
        </w:tc>
        <w:tc>
          <w:tcPr>
            <w:tcW w:w="939" w:type="dxa"/>
            <w:vAlign w:val="center"/>
          </w:tcPr>
          <w:p w:rsidR="00855E6C" w:rsidRPr="009837FC"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Quý 4/2024</w:t>
            </w:r>
          </w:p>
        </w:tc>
        <w:tc>
          <w:tcPr>
            <w:tcW w:w="939" w:type="dxa"/>
            <w:vAlign w:val="center"/>
          </w:tcPr>
          <w:p w:rsidR="00855E6C" w:rsidRPr="009837FC"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Quý 4/2024</w:t>
            </w:r>
          </w:p>
        </w:tc>
        <w:tc>
          <w:tcPr>
            <w:tcW w:w="766" w:type="dxa"/>
            <w:vAlign w:val="center"/>
          </w:tcPr>
          <w:p w:rsidR="00855E6C" w:rsidRPr="009837FC"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trọn gói</w:t>
            </w:r>
          </w:p>
        </w:tc>
        <w:tc>
          <w:tcPr>
            <w:tcW w:w="751" w:type="dxa"/>
            <w:vAlign w:val="center"/>
          </w:tcPr>
          <w:p w:rsidR="00855E6C" w:rsidRPr="009837FC"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30 ngày kể từ ngày ký hợp đồng</w:t>
            </w:r>
          </w:p>
        </w:tc>
        <w:tc>
          <w:tcPr>
            <w:tcW w:w="997" w:type="dxa"/>
            <w:vAlign w:val="center"/>
          </w:tcPr>
          <w:p w:rsidR="00855E6C" w:rsidRPr="009837FC"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Không</w:t>
            </w:r>
          </w:p>
        </w:tc>
        <w:tc>
          <w:tcPr>
            <w:tcW w:w="1125" w:type="dxa"/>
            <w:vAlign w:val="center"/>
          </w:tcPr>
          <w:p w:rsidR="00855E6C" w:rsidRPr="009837FC" w:rsidRDefault="00855E6C" w:rsidP="00855E6C">
            <w:pPr>
              <w:jc w:val="center"/>
              <w:rPr>
                <w:rFonts w:ascii="Times New Roman" w:hAnsi="Times New Roman" w:cs="Times New Roman"/>
                <w:sz w:val="26"/>
                <w:szCs w:val="26"/>
                <w:lang w:val="vi-VN"/>
              </w:rPr>
            </w:pPr>
            <w:r>
              <w:rPr>
                <w:rFonts w:ascii="Times New Roman" w:hAnsi="Times New Roman" w:cs="Times New Roman"/>
                <w:sz w:val="26"/>
                <w:szCs w:val="26"/>
                <w:lang w:val="vi-VN"/>
              </w:rPr>
              <w:t>Không</w:t>
            </w:r>
          </w:p>
        </w:tc>
      </w:tr>
    </w:tbl>
    <w:p w:rsidR="005D7613" w:rsidRDefault="005D7613" w:rsidP="005D7613">
      <w:pPr>
        <w:spacing w:after="0" w:line="240" w:lineRule="auto"/>
        <w:rPr>
          <w:rFonts w:ascii="Times New Roman" w:hAnsi="Times New Roman" w:cs="Times New Roman"/>
          <w:sz w:val="28"/>
          <w:szCs w:val="28"/>
          <w:lang w:val="vi-VN"/>
        </w:rPr>
      </w:pPr>
    </w:p>
    <w:p w:rsidR="00F42F00" w:rsidRPr="00F42F00" w:rsidRDefault="00F42F00" w:rsidP="00F42F00">
      <w:pPr>
        <w:rPr>
          <w:rFonts w:ascii="Times New Roman" w:hAnsi="Times New Roman" w:cs="Times New Roman"/>
          <w:sz w:val="28"/>
          <w:szCs w:val="28"/>
          <w:lang w:val="vi-VN"/>
        </w:rPr>
      </w:pPr>
    </w:p>
    <w:sectPr w:rsidR="00F42F00" w:rsidRPr="00F42F00" w:rsidSect="008A59E7">
      <w:pgSz w:w="15840" w:h="12240" w:orient="landscape"/>
      <w:pgMar w:top="426" w:right="851"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42F00"/>
    <w:rsid w:val="000360CB"/>
    <w:rsid w:val="001220CD"/>
    <w:rsid w:val="001658BE"/>
    <w:rsid w:val="001F2B3D"/>
    <w:rsid w:val="003A185D"/>
    <w:rsid w:val="005B4148"/>
    <w:rsid w:val="005D7613"/>
    <w:rsid w:val="006F634C"/>
    <w:rsid w:val="007D6601"/>
    <w:rsid w:val="00855E6C"/>
    <w:rsid w:val="008771DE"/>
    <w:rsid w:val="008835F6"/>
    <w:rsid w:val="008A59E7"/>
    <w:rsid w:val="009837FC"/>
    <w:rsid w:val="00A5225A"/>
    <w:rsid w:val="00B548F9"/>
    <w:rsid w:val="00B861F0"/>
    <w:rsid w:val="00BD722A"/>
    <w:rsid w:val="00C73275"/>
    <w:rsid w:val="00CF6E05"/>
    <w:rsid w:val="00D17139"/>
    <w:rsid w:val="00D2266F"/>
    <w:rsid w:val="00D57696"/>
    <w:rsid w:val="00F42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5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2024-11-04T09:28:00Z</cp:lastPrinted>
  <dcterms:created xsi:type="dcterms:W3CDTF">2024-11-04T09:28:00Z</dcterms:created>
  <dcterms:modified xsi:type="dcterms:W3CDTF">2024-11-04T09:35:00Z</dcterms:modified>
</cp:coreProperties>
</file>